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    </w:t>
      </w:r>
      <w:r>
        <w:t xml:space="preserve">  </w:t>
      </w:r>
      <w:r>
        <w:t>РОССИЙСКАЯ ФЕДЕРАЦИЯ</w:t>
      </w:r>
      <w:r>
        <w:t xml:space="preserve">                  </w:t>
      </w:r>
    </w:p>
    <w:p w14:paraId="04000000">
      <w:pPr>
        <w:ind/>
        <w:jc w:val="center"/>
      </w:pPr>
      <w:r>
        <w:t xml:space="preserve">АДМИНИСТРАЦИЯ </w:t>
      </w:r>
      <w:r>
        <w:t>ВЕРХНЕСВЕЧНИКОВСКОГО</w:t>
      </w:r>
      <w:r>
        <w:t xml:space="preserve"> СЕЛЬСКОГО ПОСЕЛЕНИЯ</w:t>
      </w:r>
    </w:p>
    <w:p w14:paraId="05000000">
      <w:pPr>
        <w:ind/>
        <w:jc w:val="center"/>
      </w:pPr>
      <w:r>
        <w:t>КАШАРСКОГО  РАЙОНА</w:t>
      </w:r>
    </w:p>
    <w:p w14:paraId="06000000">
      <w:pPr>
        <w:ind/>
        <w:jc w:val="center"/>
      </w:pPr>
      <w:r>
        <w:t>РОСТОВСКОЙ ОБЛАСТИ</w:t>
      </w: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  <w:r>
        <w:t>ПОСТАНОВЛЕНИЕ-ПРОЕКТ</w:t>
      </w:r>
    </w:p>
    <w:p w14:paraId="0A000000">
      <w:pPr>
        <w:ind/>
        <w:jc w:val="center"/>
      </w:pPr>
    </w:p>
    <w:p w14:paraId="0B000000">
      <w:r>
        <w:t>.</w:t>
      </w:r>
      <w:r>
        <w:t>20</w:t>
      </w:r>
      <w:r>
        <w:t>2</w:t>
      </w:r>
      <w:r>
        <w:t>2</w:t>
      </w:r>
      <w:r>
        <w:t xml:space="preserve">                                                                                           </w:t>
      </w:r>
      <w:r>
        <w:t xml:space="preserve">    </w:t>
      </w:r>
      <w:r>
        <w:t xml:space="preserve">           </w:t>
      </w:r>
      <w:r>
        <w:t xml:space="preserve">          №</w:t>
      </w:r>
    </w:p>
    <w:p w14:paraId="0C000000">
      <w:pPr>
        <w:ind/>
        <w:jc w:val="center"/>
      </w:pPr>
      <w:r>
        <w:t>с</w:t>
      </w:r>
      <w:r>
        <w:t>. Верхнесвечниково</w:t>
      </w:r>
    </w:p>
    <w:tbl>
      <w:tblPr>
        <w:tblStyle w:val="Style_3"/>
        <w:tblInd w:type="dxa" w:w="108"/>
        <w:tblLayout w:type="fixed"/>
      </w:tblPr>
      <w:tblGrid>
        <w:gridCol w:w="3828"/>
        <w:gridCol w:w="992"/>
        <w:gridCol w:w="4546"/>
        <w:gridCol w:w="840"/>
        <w:gridCol w:w="3706"/>
        <w:gridCol w:w="2672"/>
      </w:tblGrid>
      <w:tr>
        <w:trPr>
          <w:trHeight w:hRule="atLeast" w:val="1076"/>
        </w:trPr>
        <w:tc>
          <w:tcPr>
            <w:tcW w:type="dxa" w:w="3828"/>
          </w:tcPr>
          <w:p w14:paraId="0D000000">
            <w:r>
              <w:t xml:space="preserve">Об отчете </w:t>
            </w:r>
            <w:r>
              <w:t xml:space="preserve">об исполнении бюджета </w:t>
            </w:r>
            <w:r>
              <w:t>Верхнесвечниковского</w:t>
            </w:r>
            <w:r>
              <w:t xml:space="preserve"> сельского поселения Кашарского района за </w:t>
            </w:r>
            <w:r>
              <w:t>1</w:t>
            </w:r>
            <w:r>
              <w:t xml:space="preserve"> </w:t>
            </w:r>
            <w:r>
              <w:t>полугодие</w:t>
            </w:r>
            <w:r>
              <w:t xml:space="preserve"> 20</w:t>
            </w:r>
            <w:r>
              <w:t>2</w:t>
            </w:r>
            <w:r>
              <w:t>2</w:t>
            </w:r>
            <w:r>
              <w:t xml:space="preserve"> года</w:t>
            </w:r>
          </w:p>
        </w:tc>
        <w:tc>
          <w:tcPr>
            <w:tcW w:type="dxa" w:w="6378"/>
            <w:gridSpan w:val="3"/>
            <w:tcBorders>
              <w:left w:sz="4" w:val="nil"/>
            </w:tcBorders>
          </w:tcPr>
          <w:p w14:paraId="0E000000">
            <w:pPr>
              <w:ind w:firstLine="0" w:left="-817"/>
              <w:jc w:val="right"/>
              <w:rPr>
                <w:sz w:val="22"/>
              </w:rPr>
            </w:pPr>
          </w:p>
        </w:tc>
        <w:tc>
          <w:tcPr>
            <w:tcW w:type="dxa" w:w="6378"/>
            <w:gridSpan w:val="2"/>
          </w:tcPr>
          <w:p w14:paraId="0F000000">
            <w:pPr>
              <w:pStyle w:val="Style_4"/>
              <w:rPr>
                <w:sz w:val="22"/>
              </w:rPr>
            </w:pPr>
          </w:p>
        </w:tc>
      </w:tr>
      <w:tr>
        <w:tc>
          <w:tcPr>
            <w:tcW w:type="dxa" w:w="4820"/>
            <w:gridSpan w:val="2"/>
          </w:tcPr>
          <w:p w14:paraId="10000000">
            <w:pPr>
              <w:ind/>
              <w:jc w:val="right"/>
            </w:pPr>
          </w:p>
        </w:tc>
        <w:tc>
          <w:tcPr>
            <w:tcW w:type="dxa" w:w="4546"/>
          </w:tcPr>
          <w:p w14:paraId="11000000">
            <w:pPr>
              <w:ind/>
              <w:jc w:val="right"/>
            </w:pPr>
          </w:p>
        </w:tc>
        <w:tc>
          <w:tcPr>
            <w:tcW w:type="dxa" w:w="4546"/>
            <w:gridSpan w:val="2"/>
          </w:tcPr>
          <w:p w14:paraId="12000000">
            <w:pPr>
              <w:ind/>
              <w:jc w:val="right"/>
            </w:pPr>
          </w:p>
        </w:tc>
        <w:tc>
          <w:tcPr>
            <w:tcW w:type="dxa" w:w="2672"/>
          </w:tcPr>
          <w:p/>
        </w:tc>
      </w:tr>
    </w:tbl>
    <w:p w14:paraId="13000000">
      <w:pPr>
        <w:pStyle w:val="Style_5"/>
        <w:ind/>
        <w:jc w:val="center"/>
        <w:rPr>
          <w:sz w:val="24"/>
        </w:rPr>
      </w:pPr>
    </w:p>
    <w:p w14:paraId="14000000">
      <w:r>
        <w:t xml:space="preserve">В соответствии со статьей 264.2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статьей 43 решения Собрания депутатов </w:t>
      </w:r>
      <w:r>
        <w:t>Верхнесвечниковского</w:t>
      </w:r>
      <w:r>
        <w:t xml:space="preserve"> сельского поселения от </w:t>
      </w:r>
      <w:r>
        <w:t>2</w:t>
      </w:r>
      <w:r>
        <w:t>0.08.2007 №</w:t>
      </w:r>
      <w:r>
        <w:t>65</w:t>
      </w:r>
      <w:r>
        <w:t xml:space="preserve"> «О бюджетном процессе в муниципальном образовании «</w:t>
      </w:r>
      <w:r>
        <w:t>Верхнесвечниковское</w:t>
      </w:r>
      <w:r>
        <w:t xml:space="preserve"> сельское поселение»»</w:t>
      </w:r>
    </w:p>
    <w:p w14:paraId="15000000">
      <w:pPr>
        <w:ind/>
        <w:jc w:val="center"/>
      </w:pPr>
      <w:r>
        <w:t>ПОСТАНОВЛЯЮ:</w:t>
      </w:r>
    </w:p>
    <w:p w14:paraId="16000000">
      <w:pPr>
        <w:ind/>
        <w:jc w:val="center"/>
      </w:pPr>
    </w:p>
    <w:p w14:paraId="17000000">
      <w:pPr>
        <w:numPr>
          <w:ilvl w:val="0"/>
          <w:numId w:val="1"/>
        </w:numPr>
      </w:pPr>
      <w:r>
        <w:t>Утвердить отчет об</w:t>
      </w:r>
      <w:r>
        <w:t xml:space="preserve"> </w:t>
      </w:r>
      <w:r>
        <w:t xml:space="preserve">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полугодие</w:t>
      </w:r>
      <w:r>
        <w:t xml:space="preserve"> 20</w:t>
      </w:r>
      <w:r>
        <w:t>2</w:t>
      </w:r>
      <w:r>
        <w:t>2</w:t>
      </w:r>
      <w:r>
        <w:t xml:space="preserve"> года по доходам в сумме </w:t>
      </w:r>
      <w:r>
        <w:t>5 156,7</w:t>
      </w:r>
      <w:r>
        <w:t xml:space="preserve"> </w:t>
      </w:r>
      <w:r>
        <w:t xml:space="preserve">тыс. рублей, по расходам в сумме </w:t>
      </w:r>
      <w:r>
        <w:t>5</w:t>
      </w:r>
      <w:r>
        <w:t> 274,7</w:t>
      </w:r>
      <w:r>
        <w:t xml:space="preserve"> тыс. рублей с превышением </w:t>
      </w:r>
      <w:r>
        <w:t>рас</w:t>
      </w:r>
      <w:r>
        <w:t xml:space="preserve">ходов над </w:t>
      </w:r>
      <w:r>
        <w:t>до</w:t>
      </w:r>
      <w:r>
        <w:t>ходами (</w:t>
      </w:r>
      <w:r>
        <w:t>де</w:t>
      </w:r>
      <w:r>
        <w:t>ф</w:t>
      </w:r>
      <w:r>
        <w:t>ицит</w:t>
      </w:r>
      <w:r>
        <w:t xml:space="preserve"> бюджета сельского поселения) в сумме </w:t>
      </w:r>
      <w:r>
        <w:t>118,0</w:t>
      </w:r>
      <w:r>
        <w:t xml:space="preserve"> тыс. рублей.</w:t>
      </w:r>
    </w:p>
    <w:p w14:paraId="18000000">
      <w:pPr>
        <w:ind w:firstLine="0" w:left="720"/>
      </w:pPr>
      <w:r>
        <w:t xml:space="preserve">Определить, что держателем оригинала отчета 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 xml:space="preserve">1 </w:t>
      </w:r>
      <w:r>
        <w:t>полугодие</w:t>
      </w:r>
      <w:r>
        <w:t xml:space="preserve"> </w:t>
      </w:r>
      <w:r>
        <w:t>20</w:t>
      </w:r>
      <w:r>
        <w:t>2</w:t>
      </w:r>
      <w:r>
        <w:t>2</w:t>
      </w:r>
      <w:r>
        <w:t xml:space="preserve"> года является сектор экономики и финансов </w:t>
      </w:r>
      <w:r>
        <w:t>Верхнесвечниковского</w:t>
      </w:r>
      <w:r>
        <w:t xml:space="preserve"> сельского поселения.</w:t>
      </w:r>
    </w:p>
    <w:p w14:paraId="19000000">
      <w:pPr>
        <w:numPr>
          <w:ilvl w:val="0"/>
          <w:numId w:val="1"/>
        </w:numPr>
      </w:pPr>
      <w:r>
        <w:t xml:space="preserve">В целях информирования населения сельского поселения обнародовать сведения о ходе                                              исполнения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полугодие</w:t>
      </w:r>
      <w:r>
        <w:t xml:space="preserve"> 20</w:t>
      </w:r>
      <w:r>
        <w:t>2</w:t>
      </w:r>
      <w:r>
        <w:t>2</w:t>
      </w:r>
      <w:r>
        <w:t xml:space="preserve"> года согласно приложению к настоящему постановлению.</w:t>
      </w:r>
    </w:p>
    <w:p w14:paraId="1A000000">
      <w:pPr>
        <w:numPr>
          <w:ilvl w:val="0"/>
          <w:numId w:val="1"/>
        </w:numPr>
      </w:pPr>
      <w:r>
        <w:t>Направить настоящее постановление и отчет</w:t>
      </w:r>
      <w:r>
        <w:t xml:space="preserve"> </w:t>
      </w:r>
      <w:r>
        <w:t xml:space="preserve">об исполнении бюджета </w:t>
      </w:r>
      <w:r>
        <w:t>Верхнесвечниковского</w:t>
      </w:r>
      <w:r>
        <w:t xml:space="preserve"> сельского поселения Кашарского района за </w:t>
      </w:r>
      <w:r>
        <w:t>1</w:t>
      </w:r>
      <w:r>
        <w:t xml:space="preserve"> </w:t>
      </w:r>
      <w:r>
        <w:t>полугодие</w:t>
      </w:r>
      <w:r>
        <w:t xml:space="preserve"> 20</w:t>
      </w:r>
      <w:r>
        <w:t>2</w:t>
      </w:r>
      <w:r>
        <w:t>2</w:t>
      </w:r>
      <w:r>
        <w:t xml:space="preserve"> года в Собрание депутатов </w:t>
      </w:r>
      <w:r>
        <w:t>Верхнесвечниковского</w:t>
      </w:r>
      <w:r>
        <w:t xml:space="preserve"> сельского поселения</w:t>
      </w:r>
      <w:r>
        <w:t>.</w:t>
      </w:r>
    </w:p>
    <w:p w14:paraId="1B000000">
      <w:pPr>
        <w:numPr>
          <w:ilvl w:val="0"/>
          <w:numId w:val="1"/>
        </w:numPr>
      </w:pPr>
      <w:r>
        <w:t>Постановление вступает в силу со дня его обнародования.</w:t>
      </w:r>
    </w:p>
    <w:p w14:paraId="1C000000">
      <w:pPr>
        <w:numPr>
          <w:ilvl w:val="0"/>
          <w:numId w:val="1"/>
        </w:numPr>
      </w:pPr>
      <w:r>
        <w:t>Контроль за</w:t>
      </w:r>
      <w:r>
        <w:t xml:space="preserve"> исполнением</w:t>
      </w:r>
      <w:r>
        <w:t xml:space="preserve"> данн</w:t>
      </w:r>
      <w:r>
        <w:t>ого</w:t>
      </w:r>
      <w:r>
        <w:t xml:space="preserve"> постановлени</w:t>
      </w:r>
      <w:r>
        <w:t>я</w:t>
      </w:r>
      <w:r>
        <w:t xml:space="preserve"> оставляю за собой.</w:t>
      </w:r>
    </w:p>
    <w:p w14:paraId="1D000000"/>
    <w:p w14:paraId="1E000000"/>
    <w:p w14:paraId="1F000000"/>
    <w:p w14:paraId="20000000"/>
    <w:p w14:paraId="21000000"/>
    <w:p w14:paraId="22000000">
      <w:r>
        <w:t>Глав</w:t>
      </w:r>
      <w:r>
        <w:t>а</w:t>
      </w:r>
      <w:r>
        <w:t xml:space="preserve"> </w:t>
      </w:r>
      <w:r>
        <w:t>Администрации</w:t>
      </w:r>
    </w:p>
    <w:p w14:paraId="23000000">
      <w:r>
        <w:t>Верхнесвечниковского</w:t>
      </w:r>
    </w:p>
    <w:p w14:paraId="24000000">
      <w:r>
        <w:t>сельского поселения</w:t>
      </w:r>
      <w:r>
        <w:t xml:space="preserve">    </w:t>
      </w:r>
      <w:r>
        <w:t xml:space="preserve">                                       </w:t>
      </w:r>
      <w:r>
        <w:t xml:space="preserve">                                    </w:t>
      </w:r>
      <w:r>
        <w:t>С.Ф.Демченко</w:t>
      </w:r>
    </w:p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>
      <w:pPr>
        <w:ind/>
        <w:jc w:val="right"/>
      </w:pPr>
    </w:p>
    <w:tbl>
      <w:tblPr>
        <w:tblStyle w:val="Style_3"/>
        <w:tblInd w:type="dxa" w:w="108"/>
        <w:tblLayout w:type="fixed"/>
      </w:tblPr>
      <w:tblGrid>
        <w:gridCol w:w="8292"/>
        <w:gridCol w:w="8292"/>
      </w:tblGrid>
      <w:tr>
        <w:trPr>
          <w:trHeight w:hRule="atLeast" w:val="1076"/>
        </w:trPr>
        <w:tc>
          <w:tcPr>
            <w:tcW w:type="dxa" w:w="8292"/>
          </w:tcPr>
          <w:p w14:paraId="2F000000">
            <w:pPr>
              <w:pStyle w:val="Style_5"/>
              <w:ind w:firstLine="0" w:left="-817"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14:paraId="30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 проекту </w:t>
            </w:r>
            <w:r>
              <w:rPr>
                <w:sz w:val="22"/>
              </w:rPr>
              <w:t>Постановления Администрации</w:t>
            </w:r>
          </w:p>
          <w:p w14:paraId="31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Верхнесвечниковского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32000000">
            <w:pPr>
              <w:pStyle w:val="Style_4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№</w:t>
            </w:r>
          </w:p>
          <w:p w14:paraId="33000000">
            <w:pPr>
              <w:ind w:firstLine="0" w:left="-817"/>
              <w:jc w:val="right"/>
              <w:rPr>
                <w:sz w:val="22"/>
              </w:rPr>
            </w:pPr>
          </w:p>
        </w:tc>
        <w:tc>
          <w:tcPr>
            <w:tcW w:type="dxa" w:w="8292"/>
            <w:tcBorders>
              <w:top w:sz="4" w:val="nil"/>
              <w:bottom w:sz="4" w:val="nil"/>
            </w:tcBorders>
          </w:tcPr>
          <w:p w14:paraId="34000000">
            <w:pPr>
              <w:pStyle w:val="Style_5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</w:t>
            </w:r>
          </w:p>
          <w:p w14:paraId="3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Кашарского района от __________ г. №_______</w:t>
            </w:r>
          </w:p>
          <w:p w14:paraId="37000000">
            <w:pPr>
              <w:pStyle w:val="Style_4"/>
              <w:rPr>
                <w:sz w:val="22"/>
              </w:rPr>
            </w:pPr>
          </w:p>
        </w:tc>
      </w:tr>
    </w:tbl>
    <w:p w14:paraId="38000000">
      <w:pPr>
        <w:pStyle w:val="Style_5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ОКАЗАТЕЛИ</w:t>
      </w:r>
      <w:r>
        <w:rPr>
          <w:sz w:val="24"/>
        </w:rPr>
        <w:t xml:space="preserve"> БЮДЖЕТА </w:t>
      </w:r>
      <w:r>
        <w:rPr>
          <w:sz w:val="24"/>
        </w:rPr>
        <w:t>ВЕРХНЕСВЕЧНИКОВСКОГО</w:t>
      </w:r>
      <w:r>
        <w:rPr>
          <w:sz w:val="24"/>
        </w:rPr>
        <w:t xml:space="preserve"> СЕЛЬСКОГО ПОСЕЛЕНИЯ</w:t>
      </w:r>
      <w:r>
        <w:t xml:space="preserve"> </w:t>
      </w:r>
      <w:r>
        <w:rPr>
          <w:sz w:val="24"/>
        </w:rPr>
        <w:t>КАШАРСКОГО РАЙОНА</w:t>
      </w:r>
      <w:r>
        <w:rPr>
          <w:sz w:val="24"/>
        </w:rPr>
        <w:t xml:space="preserve"> ЗА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ПОЛУГОДИЕ</w:t>
      </w:r>
      <w:r>
        <w:rPr>
          <w:sz w:val="24"/>
        </w:rPr>
        <w:t xml:space="preserve"> 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>А</w:t>
      </w:r>
    </w:p>
    <w:p w14:paraId="39000000">
      <w:pPr>
        <w:pStyle w:val="Style_5"/>
        <w:ind/>
        <w:jc w:val="right"/>
        <w:rPr>
          <w:sz w:val="24"/>
        </w:rPr>
      </w:pPr>
      <w:r>
        <w:rPr>
          <w:sz w:val="24"/>
        </w:rPr>
        <w:t>тыс.руб.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479"/>
        <w:gridCol w:w="6"/>
        <w:gridCol w:w="1554"/>
        <w:gridCol w:w="1275"/>
      </w:tblGrid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6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6 </w:t>
            </w:r>
            <w:r>
              <w:t>691</w:t>
            </w:r>
            <w:r>
              <w:t>,</w:t>
            </w:r>
            <w: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2 644,8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НАЛОГИ НА ПРИБЫЛЬ, ДОХОДЫ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t>1 909,8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674,1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Налог на доходы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>1 909,8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674,1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Налог на доходы физических лиц с доходов, </w:t>
            </w:r>
            <w: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>
              <w:t>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</w:pPr>
            <w:r>
              <w:t>1 909,8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672,6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Налог на доходы физических лиц с доходов,</w:t>
            </w:r>
            <w: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</w:t>
            </w:r>
            <w:r>
              <w:t>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0,</w:t>
            </w:r>
            <w:r>
              <w:t>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Налог на доходы физических лиц с доходов,</w:t>
            </w:r>
            <w: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1,3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0,1</w:t>
            </w:r>
          </w:p>
        </w:tc>
      </w:tr>
      <w:tr>
        <w:trPr>
          <w:trHeight w:hRule="atLeast" w:val="1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НАЛОГИ НА СОВОКУПНЫЙ ДОХОД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383,4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Единый сельскохозяйственный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383,4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НАЛОГИ НА ИМУЩЕСТВО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8</w:t>
            </w:r>
            <w:r>
              <w:t>94</w:t>
            </w:r>
            <w:r>
              <w:t>,</w:t>
            </w:r>
            <w:r>
              <w:t>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>Налог на имущество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15,5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15,5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Земельный налог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4</w:t>
            </w:r>
            <w:r>
              <w:t> </w:t>
            </w:r>
            <w:r>
              <w:t>199</w:t>
            </w:r>
            <w:r>
              <w:t>,</w:t>
            </w:r>
            <w: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879,0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832,3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832,3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2 6</w:t>
            </w:r>
            <w:r>
              <w:t>23</w:t>
            </w:r>
            <w:r>
              <w:t>,</w:t>
            </w:r>
            <w: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46,</w:t>
            </w:r>
            <w:r>
              <w:t>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46,7</w:t>
            </w:r>
          </w:p>
        </w:tc>
      </w:tr>
      <w:tr>
        <w:tc>
          <w:tcPr>
            <w:tcW w:type="dxa" w:w="7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ГОСУДАРСТВЕННАЯ ПОШЛИНА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  <w:p w14:paraId="77000000">
            <w: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5</w:t>
            </w:r>
            <w:r>
              <w:t>7,</w:t>
            </w:r>
            <w:r>
              <w:t>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</w:t>
            </w:r>
          </w:p>
          <w:p w14:paraId="7E000000">
            <w: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3</w:t>
            </w:r>
            <w:r>
              <w:t>6,</w:t>
            </w:r>
            <w:r>
              <w:t>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</w:t>
            </w:r>
            <w:r>
              <w:t xml:space="preserve"> муниципальных</w:t>
            </w:r>
            <w:r>
              <w:t xml:space="preserve">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36,2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поселений</w:t>
            </w:r>
            <w:r>
              <w:t xml:space="preserve"> (за исключением земельных участков</w:t>
            </w:r>
            <w:r>
              <w:t xml:space="preserve"> муниципальных</w:t>
            </w:r>
            <w:r>
              <w:t xml:space="preserve">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36,2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21,4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поселений</w:t>
            </w:r>
            <w:r>
              <w:t xml:space="preserve"> и созданных ими учреждений (за исключением имущества муниципальных </w:t>
            </w:r>
            <w:r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21,4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85,8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Прочие доходы от компенсации затрат государства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85,8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85,8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ДОХОДЫ ОТ ПРОДАЖИ МАТЕРИАЛЬНЫХ И НЕМАТЕРИАЛЬНЫХ АКТИВОВ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</w:pPr>
            <w:r>
              <w:t>548,0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434,7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434,7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434,7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 xml:space="preserve">Доходы от продажи земельных участков, находящихся </w:t>
            </w:r>
            <w:r>
              <w:t>в государственной и муниципальной собственности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113,3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</w:pPr>
            <w:r>
              <w:t>113,3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113,3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ШТРАФЫ, САНКЦИИ, ВОЗМЕЩЕНИЕ УЩЕРБА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1,3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1,3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1,3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действовавшим в 2019 году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7"/>
            </w:pPr>
            <w:r>
              <w:t>БЕЗВОЗМЕЗДНЫЕ ПОСТУПЛЕНИЯ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  <w:r>
              <w:t>5 311,9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2 512,0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Дотации на выравнивание уровня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4 399,6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  <w:r>
              <w:t>2 199,8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96,</w:t>
            </w:r>
            <w:r>
              <w:t>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51, 3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</w:pPr>
            <w:r>
              <w:t>51,1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</w:pPr>
            <w:r>
              <w:t>51,1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Иные межбюджетные трансферты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259,7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259,7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259,7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</w:pPr>
            <w:r>
              <w:t>ДОХОДЫ БЮДЖЕТОВ БЮДЖЕНТОЙ СИСТЕМЫРОССИЙСКОЙ ФЕДЕРАЦИИ ОТ ВОЗВРАТА ОСТАТКОВ СУБСИДИЙ, СУБВЕНЦИЙИ ИНЫХ МЕЖБЮДЖЕТНЫХ ТРАНСФЕРТОВ, ИМЕЮЩИХ ЦЕЛЕВОЕ НАЗНАЧЕНИЕ, ПРОШЛЫХ ЛЕТ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межбюджентых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1,2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1,2</w:t>
            </w:r>
          </w:p>
        </w:tc>
      </w:tr>
      <w:t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Всего доходов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</w:t>
            </w:r>
            <w:r>
              <w:t>2 </w:t>
            </w:r>
            <w:r>
              <w:t>0</w:t>
            </w:r>
            <w:r>
              <w:t>0</w:t>
            </w:r>
            <w:r>
              <w:t>3</w:t>
            </w:r>
            <w:r>
              <w:t>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5 156,7</w:t>
            </w:r>
          </w:p>
        </w:tc>
      </w:tr>
      <w:tr>
        <w:trPr>
          <w:trHeight w:hRule="atLeast" w:val="331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t>РАСХОДЫ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t>1</w:t>
            </w:r>
            <w:r>
              <w:t>2</w:t>
            </w:r>
            <w:r>
              <w:t> 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5 274,7</w:t>
            </w:r>
          </w:p>
        </w:tc>
      </w:tr>
      <w:tr>
        <w:trPr>
          <w:trHeight w:hRule="atLeast" w:val="279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7 341,3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3 061,6</w:t>
            </w:r>
          </w:p>
        </w:tc>
      </w:tr>
      <w:tr>
        <w:trPr>
          <w:trHeight w:hRule="atLeast" w:val="49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7 171,4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3 029,7</w:t>
            </w:r>
          </w:p>
        </w:tc>
      </w:tr>
      <w:tr>
        <w:trPr>
          <w:trHeight w:hRule="atLeast" w:val="297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В т.ч. численность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6 чел.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Затраты на денежное содержание муниципальных служащих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1 124,8</w:t>
            </w:r>
          </w:p>
        </w:tc>
      </w:tr>
      <w:tr>
        <w:trPr>
          <w:trHeight w:hRule="atLeast" w:val="273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Другие общегосударственные вопросы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</w:pPr>
            <w:r>
              <w:t>408,0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31,9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НАЦИОНАЛЬНАЯ ОБОРОНА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96,</w:t>
            </w:r>
            <w: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51,1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Мобилизационная и вневойсковая подготовка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96,7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51,1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18</w:t>
            </w: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37,8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18</w:t>
            </w: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37,8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НАЦИОНАЛЬНАЯ ЭКОНОМИКА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259,7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Дорожное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259,7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ЖИЛИЩНО-КОММУНАЛЬНОЕ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841,9</w:t>
            </w:r>
          </w:p>
        </w:tc>
      </w:tr>
      <w:tr>
        <w:trPr>
          <w:trHeight w:hRule="atLeast" w:val="296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Коммунальное хозяйство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t>537,9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Благоустройство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304,0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>ОБРАЗОВАНИЕ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12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12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КУЛЬТУРА, КИНЕМАТОГРАФИЯ, СРЕДСТВА МАССОВОЙ ИНФОРМАЦИИ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1 903,0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9</w:t>
            </w:r>
            <w:r>
              <w:t>34</w:t>
            </w:r>
            <w:r>
              <w:t>,</w:t>
            </w:r>
            <w:r>
              <w:t>9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Культура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1 903,0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t>934,9</w:t>
            </w:r>
          </w:p>
        </w:tc>
      </w:tr>
      <w:tr>
        <w:trPr>
          <w:trHeight w:hRule="atLeast" w:val="204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СОЦИАЛЬНАЯ ПОЛИТИКА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7</w:t>
            </w:r>
            <w:r>
              <w:t>5</w:t>
            </w:r>
            <w:r>
              <w:t>,</w:t>
            </w:r>
            <w:r>
              <w:t>6</w:t>
            </w:r>
          </w:p>
        </w:tc>
      </w:tr>
      <w:tr>
        <w:trPr>
          <w:trHeight w:hRule="atLeast" w:val="7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>Пенсионное обеспечение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7</w:t>
            </w:r>
            <w:r>
              <w:t>5</w:t>
            </w:r>
            <w:r>
              <w:t>,</w:t>
            </w:r>
            <w:r>
              <w:t>6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ИТОГО</w:t>
            </w:r>
            <w:r>
              <w:t xml:space="preserve"> РАСХОДОВ: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1</w:t>
            </w:r>
            <w:r>
              <w:t>2</w:t>
            </w:r>
            <w:r>
              <w:t> 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5 274,7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ДЕФИЦИТ(-), ПРОФИЦИТ(+)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-</w:t>
            </w:r>
            <w:r>
              <w:t>260,0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-</w:t>
            </w:r>
            <w:r>
              <w:t>118,0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>Источники финансирования дефицита бюджета -  всего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260,0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118,0</w:t>
            </w:r>
          </w:p>
        </w:tc>
      </w:tr>
      <w:tr>
        <w:trPr>
          <w:trHeight w:hRule="atLeast" w:val="225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12 003,1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5 156,7</w:t>
            </w:r>
          </w:p>
        </w:tc>
      </w:tr>
      <w:tr>
        <w:trPr>
          <w:trHeight w:hRule="atLeast" w:val="300"/>
        </w:trPr>
        <w:tc>
          <w:tcPr>
            <w:tcW w:type="dxa" w:w="7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12 263,1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t>5 274,7</w:t>
            </w:r>
          </w:p>
        </w:tc>
      </w:tr>
    </w:tbl>
    <w:p w14:paraId="35010000">
      <w:pPr>
        <w:ind/>
        <w:jc w:val="right"/>
        <w:outlineLvl w:val="0"/>
      </w:pPr>
    </w:p>
    <w:sectPr>
      <w:footerReference r:id="rId1" w:type="default"/>
      <w:pgSz w:h="16840" w:orient="portrait" w:w="11907"/>
      <w:pgMar w:bottom="567" w:footer="720" w:gutter="0" w:header="720" w:left="1134" w:right="42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Indent 3"/>
    <w:basedOn w:val="Style_8"/>
    <w:link w:val="Style_11_ch"/>
    <w:pPr>
      <w:ind w:firstLine="1440" w:left="0"/>
    </w:pPr>
  </w:style>
  <w:style w:styleId="Style_11_ch" w:type="character">
    <w:name w:val="Body Text Indent 3"/>
    <w:basedOn w:val="Style_8_ch"/>
    <w:link w:val="Style_11"/>
  </w:style>
  <w:style w:styleId="Style_12" w:type="paragraph">
    <w:name w:val="header"/>
    <w:basedOn w:val="Style_8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4" w:type="paragraph">
    <w:name w:val="Body Text Indent"/>
    <w:basedOn w:val="Style_8"/>
    <w:link w:val="Style_4_ch"/>
    <w:pPr>
      <w:ind w:firstLine="284" w:left="0"/>
      <w:jc w:val="both"/>
    </w:pPr>
  </w:style>
  <w:style w:styleId="Style_4_ch" w:type="character">
    <w:name w:val="Body Text Indent"/>
    <w:basedOn w:val="Style_8_ch"/>
    <w:link w:val="Style_4"/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8"/>
    <w:link w:val="Style_16_ch"/>
    <w:rPr>
      <w:rFonts w:ascii="Tahoma" w:hAnsi="Tahoma"/>
      <w:sz w:val="16"/>
    </w:rPr>
  </w:style>
  <w:style w:styleId="Style_16_ch" w:type="character">
    <w:name w:val="Balloon Text"/>
    <w:basedOn w:val="Style_8_ch"/>
    <w:link w:val="Style_16"/>
    <w:rPr>
      <w:rFonts w:ascii="Tahoma" w:hAnsi="Tahoma"/>
      <w:sz w:val="16"/>
    </w:rPr>
  </w:style>
  <w:style w:styleId="Style_17" w:type="paragraph">
    <w:name w:val="Body Text Indent 2"/>
    <w:basedOn w:val="Style_8"/>
    <w:link w:val="Style_17_ch"/>
    <w:pPr>
      <w:ind w:firstLine="1418" w:left="0"/>
    </w:pPr>
  </w:style>
  <w:style w:styleId="Style_17_ch" w:type="character">
    <w:name w:val="Body Text Indent 2"/>
    <w:basedOn w:val="Style_8_ch"/>
    <w:link w:val="Style_17"/>
  </w:style>
  <w:style w:styleId="Style_18" w:type="paragraph">
    <w:name w:val="heading 5"/>
    <w:basedOn w:val="Style_8"/>
    <w:next w:val="Style_8"/>
    <w:link w:val="Style_18_ch"/>
    <w:uiPriority w:val="9"/>
    <w:qFormat/>
    <w:pPr>
      <w:keepNext w:val="1"/>
      <w:ind w:firstLine="567" w:left="0"/>
      <w:outlineLvl w:val="4"/>
    </w:pPr>
    <w:rPr>
      <w:sz w:val="28"/>
    </w:rPr>
  </w:style>
  <w:style w:styleId="Style_18_ch" w:type="character">
    <w:name w:val="heading 5"/>
    <w:basedOn w:val="Style_8_ch"/>
    <w:link w:val="Style_18"/>
    <w:rPr>
      <w:sz w:val="28"/>
    </w:rPr>
  </w:style>
  <w:style w:styleId="Style_5" w:type="paragraph">
    <w:name w:val="heading 1"/>
    <w:basedOn w:val="Style_8"/>
    <w:next w:val="Style_8"/>
    <w:link w:val="Style_5_ch"/>
    <w:uiPriority w:val="9"/>
    <w:qFormat/>
    <w:pPr>
      <w:keepNext w:val="1"/>
      <w:ind/>
      <w:jc w:val="both"/>
      <w:outlineLvl w:val="0"/>
    </w:pPr>
    <w:rPr>
      <w:sz w:val="28"/>
    </w:rPr>
  </w:style>
  <w:style w:styleId="Style_5_ch" w:type="character">
    <w:name w:val="heading 1"/>
    <w:basedOn w:val="Style_8_ch"/>
    <w:link w:val="Style_5"/>
    <w:rPr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8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ody Text"/>
    <w:basedOn w:val="Style_8"/>
    <w:link w:val="Style_25_ch"/>
    <w:rPr>
      <w:sz w:val="28"/>
    </w:rPr>
  </w:style>
  <w:style w:styleId="Style_25_ch" w:type="character">
    <w:name w:val="Body Text"/>
    <w:basedOn w:val="Style_8_ch"/>
    <w:link w:val="Style_25"/>
    <w:rPr>
      <w:sz w:val="28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Normal_0"/>
    <w:link w:val="Style_28_ch"/>
    <w:pPr>
      <w:widowControl w:val="0"/>
      <w:ind/>
    </w:pPr>
  </w:style>
  <w:style w:styleId="Style_28_ch" w:type="character">
    <w:name w:val="Normal_0"/>
    <w:link w:val="Style_28"/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page number"/>
    <w:basedOn w:val="Style_27"/>
    <w:link w:val="Style_1_ch"/>
  </w:style>
  <w:style w:styleId="Style_1_ch" w:type="character">
    <w:name w:val="page number"/>
    <w:basedOn w:val="Style_27_ch"/>
    <w:link w:val="Style_1"/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itle"/>
    <w:basedOn w:val="Style_8"/>
    <w:link w:val="Style_31_ch"/>
    <w:uiPriority w:val="10"/>
    <w:qFormat/>
    <w:pPr>
      <w:ind/>
      <w:jc w:val="center"/>
    </w:pPr>
    <w:rPr>
      <w:b w:val="1"/>
      <w:sz w:val="28"/>
    </w:rPr>
  </w:style>
  <w:style w:styleId="Style_31_ch" w:type="character">
    <w:name w:val="Title"/>
    <w:basedOn w:val="Style_8_ch"/>
    <w:link w:val="Style_31"/>
    <w:rPr>
      <w:b w:val="1"/>
      <w:sz w:val="28"/>
    </w:rPr>
  </w:style>
  <w:style w:styleId="Style_32" w:type="paragraph">
    <w:name w:val="heading 4"/>
    <w:basedOn w:val="Style_8"/>
    <w:next w:val="Style_8"/>
    <w:link w:val="Style_32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2_ch" w:type="character">
    <w:name w:val="heading 4"/>
    <w:basedOn w:val="Style_8_ch"/>
    <w:link w:val="Style_32"/>
    <w:rPr>
      <w:b w:val="1"/>
      <w:spacing w:val="60"/>
    </w:rPr>
  </w:style>
  <w:style w:styleId="Style_6" w:type="paragraph">
    <w:name w:val="heading 2"/>
    <w:basedOn w:val="Style_8"/>
    <w:next w:val="Style_8"/>
    <w:link w:val="Style_6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6_ch" w:type="character">
    <w:name w:val="heading 2"/>
    <w:basedOn w:val="Style_8_ch"/>
    <w:link w:val="Style_6"/>
    <w:rPr>
      <w:b w:val="1"/>
      <w:sz w:val="28"/>
    </w:rPr>
  </w:style>
  <w:style w:styleId="Style_33" w:type="paragraph">
    <w:name w:val="heading 6"/>
    <w:basedOn w:val="Style_8"/>
    <w:next w:val="Style_8"/>
    <w:link w:val="Style_33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3_ch" w:type="character">
    <w:name w:val="heading 6"/>
    <w:basedOn w:val="Style_8_ch"/>
    <w:link w:val="Style_33"/>
    <w:rPr>
      <w:sz w:val="28"/>
    </w:r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2023-02-08T12:33:14Z</dcterms:modified>
</cp:coreProperties>
</file>